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6B8A9">
      <w:pPr>
        <w:spacing w:before="181" w:line="224" w:lineRule="auto"/>
        <w:rPr>
          <w:rFonts w:hint="eastAsia" w:ascii="仿宋_GB2312" w:hAnsi="仿宋_GB2312" w:eastAsia="仿宋_GB2312" w:cs="仿宋_GB2312"/>
          <w:sz w:val="32"/>
          <w:szCs w:val="32"/>
        </w:rPr>
      </w:pPr>
      <w:r>
        <w:rPr>
          <w:rFonts w:hint="eastAsia" w:ascii="仿宋_GB2312" w:hAnsi="仿宋_GB2312" w:eastAsia="仿宋_GB2312" w:cs="仿宋_GB2312"/>
          <w:spacing w:val="-27"/>
          <w:sz w:val="32"/>
          <w:szCs w:val="32"/>
        </w:rPr>
        <w:t>附件1</w:t>
      </w:r>
    </w:p>
    <w:p w14:paraId="1CEB65BF">
      <w:pPr>
        <w:pStyle w:val="2"/>
        <w:bidi w:val="0"/>
        <w:rPr>
          <w:rFonts w:hint="eastAsia" w:ascii="仿宋_GB2312" w:hAnsi="仿宋_GB2312" w:eastAsia="仿宋_GB2312" w:cs="仿宋_GB2312"/>
          <w:sz w:val="32"/>
          <w:szCs w:val="32"/>
        </w:rPr>
      </w:pPr>
      <w:r>
        <w:rPr>
          <w:rFonts w:hint="eastAsia"/>
        </w:rPr>
        <w:t>“弱口令”风险系统自查指南</w:t>
      </w:r>
    </w:p>
    <w:p w14:paraId="2C991C4F">
      <w:pPr>
        <w:pStyle w:val="3"/>
        <w:bidi w:val="0"/>
        <w:rPr>
          <w:rFonts w:hint="eastAsia"/>
        </w:rPr>
      </w:pPr>
      <w:r>
        <w:rPr>
          <w:rFonts w:hint="eastAsia"/>
        </w:rPr>
        <w:t>一、“弱口令”风险系统范围</w:t>
      </w:r>
    </w:p>
    <w:p w14:paraId="5BDB0242">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both"/>
        <w:textAlignment w:val="auto"/>
        <w:rPr>
          <w:rFonts w:hint="eastAsia" w:ascii="Times New Roman" w:hAnsi="Times New Roman" w:eastAsia="仿宋_GB2312" w:cstheme="minorBidi"/>
          <w:snapToGrid/>
          <w:kern w:val="0"/>
          <w:lang w:val="en-US"/>
        </w:rPr>
      </w:pPr>
      <w:r>
        <w:rPr>
          <w:rFonts w:hint="eastAsia" w:ascii="Times New Roman" w:hAnsi="Times New Roman" w:eastAsia="仿宋_GB2312" w:cstheme="minorBidi"/>
          <w:snapToGrid/>
          <w:kern w:val="0"/>
          <w:lang w:val="en-US"/>
        </w:rPr>
        <w:t>“弱口令”风险系统是指采用单一认证方式以及未限制口令复杂度和更新机制、未校验“弱口令”、未落实口令防“暴破”策略、未采取加密存储传输口令措施，可能导致系统账号存在“弱口令”的系统。</w:t>
      </w:r>
    </w:p>
    <w:p w14:paraId="5079DC7D">
      <w:pPr>
        <w:pStyle w:val="3"/>
        <w:bidi w:val="0"/>
        <w:rPr>
          <w:rFonts w:hint="eastAsia"/>
        </w:rPr>
      </w:pPr>
      <w:r>
        <w:rPr>
          <w:rFonts w:hint="eastAsia"/>
        </w:rPr>
        <w:t>二、排查范围</w:t>
      </w:r>
    </w:p>
    <w:p w14:paraId="03C85364">
      <w:pPr>
        <w:pStyle w:val="4"/>
        <w:spacing w:before="274" w:line="322" w:lineRule="auto"/>
        <w:ind w:right="59" w:firstLine="820"/>
        <w:jc w:val="both"/>
        <w:rPr>
          <w:rFonts w:hint="eastAsia" w:ascii="Times New Roman" w:hAnsi="Times New Roman" w:eastAsia="仿宋_GB2312" w:cstheme="minorBidi"/>
          <w:snapToGrid/>
          <w:color w:val="000000"/>
          <w:kern w:val="0"/>
          <w:sz w:val="32"/>
          <w:szCs w:val="32"/>
          <w:lang w:val="en-US" w:eastAsia="en-US" w:bidi="ar-SA"/>
        </w:rPr>
      </w:pPr>
      <w:r>
        <w:rPr>
          <w:rFonts w:hint="eastAsia" w:ascii="Times New Roman" w:hAnsi="Times New Roman" w:eastAsia="仿宋_GB2312" w:cstheme="minorBidi"/>
          <w:snapToGrid/>
          <w:color w:val="000000"/>
          <w:kern w:val="0"/>
          <w:sz w:val="32"/>
          <w:szCs w:val="32"/>
          <w:lang w:val="en-US" w:eastAsia="en-US" w:bidi="ar-SA"/>
        </w:rPr>
        <w:t>应覆盖</w:t>
      </w:r>
      <w:r>
        <w:rPr>
          <w:rFonts w:hint="eastAsia" w:ascii="Times New Roman" w:hAnsi="Times New Roman" w:eastAsia="仿宋_GB2312" w:cstheme="minorBidi"/>
          <w:snapToGrid/>
          <w:color w:val="000000"/>
          <w:kern w:val="0"/>
          <w:sz w:val="32"/>
          <w:szCs w:val="32"/>
          <w:lang w:val="en-US" w:eastAsia="zh-CN" w:bidi="ar-SA"/>
        </w:rPr>
        <w:t>本单位所有</w:t>
      </w:r>
      <w:r>
        <w:rPr>
          <w:rFonts w:hint="eastAsia" w:ascii="Times New Roman" w:hAnsi="Times New Roman" w:eastAsia="仿宋_GB2312" w:cstheme="minorBidi"/>
          <w:snapToGrid/>
          <w:color w:val="000000"/>
          <w:kern w:val="0"/>
          <w:sz w:val="32"/>
          <w:szCs w:val="32"/>
          <w:lang w:val="en-US" w:eastAsia="en-US" w:bidi="ar-SA"/>
        </w:rPr>
        <w:t>互联网系统和内网系统</w:t>
      </w:r>
      <w:r>
        <w:rPr>
          <w:rFonts w:hint="eastAsia" w:ascii="Times New Roman" w:hAnsi="Times New Roman" w:eastAsia="仿宋_GB2312" w:cstheme="minorBidi"/>
          <w:snapToGrid/>
          <w:color w:val="000000"/>
          <w:kern w:val="0"/>
          <w:sz w:val="32"/>
          <w:szCs w:val="32"/>
          <w:lang w:val="en-US" w:eastAsia="zh-CN" w:bidi="ar-SA"/>
        </w:rPr>
        <w:t>，</w:t>
      </w:r>
      <w:r>
        <w:rPr>
          <w:rFonts w:hint="eastAsia" w:ascii="Times New Roman" w:hAnsi="Times New Roman" w:eastAsia="仿宋_GB2312" w:cstheme="minorBidi"/>
          <w:snapToGrid/>
          <w:color w:val="000000"/>
          <w:kern w:val="0"/>
          <w:sz w:val="32"/>
          <w:szCs w:val="32"/>
          <w:lang w:val="en-US" w:eastAsia="en-US" w:bidi="ar-SA"/>
        </w:rPr>
        <w:t>包括但不限于建设运行的</w:t>
      </w:r>
      <w:r>
        <w:rPr>
          <w:rFonts w:hint="eastAsia" w:ascii="Times New Roman" w:hAnsi="Times New Roman" w:eastAsia="仿宋_GB2312" w:cstheme="minorBidi"/>
          <w:snapToGrid/>
          <w:color w:val="000000"/>
          <w:kern w:val="0"/>
          <w:sz w:val="32"/>
          <w:szCs w:val="32"/>
          <w:lang w:val="en-US" w:eastAsia="zh-CN" w:bidi="ar-SA"/>
        </w:rPr>
        <w:t>信息</w:t>
      </w:r>
      <w:r>
        <w:rPr>
          <w:rFonts w:hint="eastAsia" w:ascii="Times New Roman" w:hAnsi="Times New Roman" w:eastAsia="仿宋_GB2312" w:cstheme="minorBidi"/>
          <w:snapToGrid/>
          <w:color w:val="000000"/>
          <w:kern w:val="0"/>
          <w:sz w:val="32"/>
          <w:szCs w:val="32"/>
          <w:lang w:val="en-US" w:eastAsia="en-US" w:bidi="ar-SA"/>
        </w:rPr>
        <w:t>系统</w:t>
      </w:r>
      <w:r>
        <w:rPr>
          <w:rFonts w:hint="eastAsia" w:ascii="Times New Roman" w:hAnsi="Times New Roman" w:eastAsia="仿宋_GB2312" w:cstheme="minorBidi"/>
          <w:snapToGrid/>
          <w:color w:val="000000"/>
          <w:kern w:val="0"/>
          <w:sz w:val="32"/>
          <w:szCs w:val="32"/>
          <w:lang w:val="en-US" w:eastAsia="zh-CN" w:bidi="ar-SA"/>
        </w:rPr>
        <w:t>、</w:t>
      </w:r>
      <w:r>
        <w:rPr>
          <w:rFonts w:hint="eastAsia" w:ascii="Times New Roman" w:hAnsi="Times New Roman" w:eastAsia="仿宋_GB2312" w:cstheme="minorBidi"/>
          <w:snapToGrid/>
          <w:color w:val="000000"/>
          <w:kern w:val="0"/>
          <w:sz w:val="32"/>
          <w:szCs w:val="32"/>
          <w:lang w:val="en-US" w:eastAsia="en-US" w:bidi="ar-SA"/>
        </w:rPr>
        <w:t>数据库、</w:t>
      </w:r>
      <w:r>
        <w:rPr>
          <w:rFonts w:hint="eastAsia" w:ascii="Times New Roman" w:hAnsi="Times New Roman" w:eastAsia="仿宋_GB2312" w:cstheme="minorBidi"/>
          <w:snapToGrid/>
          <w:color w:val="000000"/>
          <w:kern w:val="0"/>
          <w:sz w:val="32"/>
          <w:szCs w:val="32"/>
          <w:lang w:val="en-US" w:eastAsia="zh-CN" w:bidi="ar-SA"/>
        </w:rPr>
        <w:t>中间件、</w:t>
      </w:r>
      <w:r>
        <w:rPr>
          <w:rFonts w:hint="eastAsia" w:ascii="Times New Roman" w:hAnsi="Times New Roman" w:eastAsia="仿宋_GB2312" w:cstheme="minorBidi"/>
          <w:snapToGrid/>
          <w:color w:val="000000"/>
          <w:kern w:val="0"/>
          <w:sz w:val="32"/>
          <w:szCs w:val="32"/>
          <w:lang w:val="en-US" w:eastAsia="en-US" w:bidi="ar-SA"/>
        </w:rPr>
        <w:t>运维等管理系统，网络设备、安全设备、物联网设备</w:t>
      </w:r>
      <w:r>
        <w:rPr>
          <w:rFonts w:hint="eastAsia" w:ascii="Times New Roman" w:hAnsi="Times New Roman" w:eastAsia="仿宋_GB2312" w:cstheme="minorBidi"/>
          <w:snapToGrid/>
          <w:color w:val="000000"/>
          <w:kern w:val="0"/>
          <w:sz w:val="32"/>
          <w:szCs w:val="32"/>
          <w:lang w:val="en-US" w:eastAsia="zh-CN" w:bidi="ar-SA"/>
        </w:rPr>
        <w:t>、摄像头、打印机、</w:t>
      </w:r>
      <w:bookmarkStart w:id="0" w:name="_GoBack"/>
      <w:bookmarkEnd w:id="0"/>
      <w:r>
        <w:rPr>
          <w:rFonts w:hint="eastAsia" w:ascii="Times New Roman" w:hAnsi="Times New Roman" w:eastAsia="仿宋_GB2312" w:cstheme="minorBidi"/>
          <w:snapToGrid/>
          <w:color w:val="000000"/>
          <w:kern w:val="0"/>
          <w:sz w:val="32"/>
          <w:szCs w:val="32"/>
          <w:lang w:val="en-US" w:eastAsia="zh-CN" w:bidi="ar-SA"/>
        </w:rPr>
        <w:t>自助机</w:t>
      </w:r>
      <w:r>
        <w:rPr>
          <w:rFonts w:hint="eastAsia" w:ascii="Times New Roman" w:hAnsi="Times New Roman" w:eastAsia="仿宋_GB2312" w:cstheme="minorBidi"/>
          <w:snapToGrid/>
          <w:color w:val="000000"/>
          <w:kern w:val="0"/>
          <w:sz w:val="32"/>
          <w:szCs w:val="32"/>
          <w:lang w:val="en-US" w:eastAsia="en-US" w:bidi="ar-SA"/>
        </w:rPr>
        <w:t>等硬件设备系统。</w:t>
      </w:r>
    </w:p>
    <w:p w14:paraId="4CB57922">
      <w:pPr>
        <w:pStyle w:val="3"/>
        <w:bidi w:val="0"/>
        <w:rPr>
          <w:rFonts w:hint="eastAsia"/>
        </w:rPr>
      </w:pPr>
      <w:r>
        <w:rPr>
          <w:rFonts w:hint="eastAsia"/>
        </w:rPr>
        <w:t>三、排查方式</w:t>
      </w:r>
    </w:p>
    <w:p w14:paraId="67064CEB">
      <w:pPr>
        <w:pStyle w:val="4"/>
        <w:spacing w:before="225" w:line="320" w:lineRule="auto"/>
        <w:ind w:firstLine="820"/>
        <w:jc w:val="both"/>
        <w:rPr>
          <w:rFonts w:hint="eastAsia" w:ascii="Times New Roman" w:hAnsi="Times New Roman" w:eastAsia="仿宋_GB2312" w:cstheme="minorBidi"/>
          <w:snapToGrid/>
          <w:color w:val="000000"/>
          <w:kern w:val="0"/>
          <w:sz w:val="32"/>
          <w:szCs w:val="32"/>
          <w:lang w:val="en-US" w:eastAsia="en-US" w:bidi="ar-SA"/>
        </w:rPr>
      </w:pPr>
      <w:r>
        <w:rPr>
          <w:rFonts w:hint="eastAsia" w:ascii="Times New Roman" w:hAnsi="Times New Roman" w:eastAsia="仿宋_GB2312" w:cstheme="minorBidi"/>
          <w:snapToGrid/>
          <w:color w:val="000000"/>
          <w:kern w:val="0"/>
          <w:sz w:val="32"/>
          <w:szCs w:val="32"/>
          <w:lang w:val="en-US" w:eastAsia="en-US" w:bidi="ar-SA"/>
        </w:rPr>
        <w:t>针对“弱口令”风险系统的排查，需建立“常态化、动态性、滚动式”的动态排查机制，具体实施如下：一是单一认证方式排查。检查系统是否仅依赖口令方式，未结合国家网络身份认证公共服务、短信验证码、生物特征</w:t>
      </w:r>
      <w:r>
        <w:rPr>
          <w:rFonts w:hint="eastAsia" w:ascii="Times New Roman" w:hAnsi="Times New Roman" w:eastAsia="仿宋_GB2312" w:cstheme="minorBidi"/>
          <w:snapToGrid/>
          <w:color w:val="000000"/>
          <w:kern w:val="0"/>
          <w:sz w:val="32"/>
          <w:szCs w:val="32"/>
          <w:lang w:val="en-US" w:eastAsia="zh-CN" w:bidi="ar-SA"/>
        </w:rPr>
        <w:t>（</w:t>
      </w:r>
      <w:r>
        <w:rPr>
          <w:rFonts w:hint="eastAsia" w:ascii="Times New Roman" w:hAnsi="Times New Roman" w:eastAsia="仿宋_GB2312" w:cstheme="minorBidi"/>
          <w:snapToGrid/>
          <w:color w:val="000000"/>
          <w:kern w:val="0"/>
          <w:sz w:val="32"/>
          <w:szCs w:val="32"/>
          <w:lang w:val="en-US" w:eastAsia="en-US" w:bidi="ar-SA"/>
        </w:rPr>
        <w:t>包括指纹、声纹、人脸、虹膜</w:t>
      </w:r>
      <w:r>
        <w:rPr>
          <w:rFonts w:hint="eastAsia" w:ascii="Times New Roman" w:hAnsi="Times New Roman" w:eastAsia="仿宋_GB2312" w:cstheme="minorBidi"/>
          <w:snapToGrid/>
          <w:color w:val="000000"/>
          <w:kern w:val="0"/>
          <w:sz w:val="32"/>
          <w:szCs w:val="32"/>
          <w:lang w:val="en-US" w:eastAsia="zh-CN" w:bidi="ar-SA"/>
        </w:rPr>
        <w:t>）</w:t>
      </w:r>
      <w:r>
        <w:rPr>
          <w:rFonts w:hint="eastAsia" w:ascii="Times New Roman" w:hAnsi="Times New Roman" w:eastAsia="仿宋_GB2312" w:cstheme="minorBidi"/>
          <w:snapToGrid/>
          <w:color w:val="000000"/>
          <w:kern w:val="0"/>
          <w:sz w:val="32"/>
          <w:szCs w:val="32"/>
          <w:lang w:val="en-US" w:eastAsia="en-US" w:bidi="ar-SA"/>
        </w:rPr>
        <w:t>、数字证书、数字令牌等多因子手段进行身份验证。</w:t>
      </w:r>
      <w:r>
        <w:rPr>
          <w:rFonts w:hint="eastAsia" w:ascii="Times New Roman" w:hAnsi="Times New Roman" w:eastAsia="仿宋_GB2312" w:cstheme="minorBidi"/>
          <w:snapToGrid/>
          <w:color w:val="000000"/>
          <w:kern w:val="0"/>
          <w:sz w:val="32"/>
          <w:szCs w:val="32"/>
          <w:lang w:val="en-US" w:eastAsia="zh-CN" w:bidi="ar-SA"/>
        </w:rPr>
        <w:t>二</w:t>
      </w:r>
      <w:r>
        <w:rPr>
          <w:rFonts w:hint="eastAsia" w:ascii="Times New Roman" w:hAnsi="Times New Roman" w:eastAsia="仿宋_GB2312" w:cstheme="minorBidi"/>
          <w:snapToGrid/>
          <w:color w:val="000000"/>
          <w:kern w:val="0"/>
          <w:sz w:val="32"/>
          <w:szCs w:val="32"/>
          <w:lang w:val="en-US" w:eastAsia="en-US" w:bidi="ar-SA"/>
        </w:rPr>
        <w:t>是口令复杂度以及更新机制排查。核查系统是否限制口令复杂度、是否存在口令长度过短、未要求包含大小写字母、数字、特殊符号及中文字符等情况；核查系统是否建立口令定期更新机制、是否明确口令有效期。</w:t>
      </w:r>
      <w:r>
        <w:rPr>
          <w:rFonts w:hint="eastAsia" w:ascii="Times New Roman" w:hAnsi="Times New Roman" w:eastAsia="仿宋_GB2312" w:cstheme="minorBidi"/>
          <w:snapToGrid/>
          <w:color w:val="000000"/>
          <w:kern w:val="0"/>
          <w:sz w:val="32"/>
          <w:szCs w:val="32"/>
          <w:lang w:val="en-US" w:eastAsia="zh-CN" w:bidi="ar-SA"/>
        </w:rPr>
        <w:t>三是</w:t>
      </w:r>
      <w:r>
        <w:rPr>
          <w:rFonts w:hint="eastAsia" w:ascii="Times New Roman" w:hAnsi="Times New Roman" w:eastAsia="仿宋_GB2312" w:cstheme="minorBidi"/>
          <w:snapToGrid/>
          <w:color w:val="000000"/>
          <w:kern w:val="0"/>
          <w:sz w:val="32"/>
          <w:szCs w:val="32"/>
          <w:lang w:val="en-US" w:eastAsia="en-US" w:bidi="ar-SA"/>
        </w:rPr>
        <w:t>“弱口令”校验措施排查。检查系统是否内置“弱口令”字典、是否在用户设置口令 时进行“弱口令”拦截与提醒。</w:t>
      </w:r>
      <w:r>
        <w:rPr>
          <w:rFonts w:hint="eastAsia" w:ascii="Times New Roman" w:hAnsi="Times New Roman" w:eastAsia="仿宋_GB2312" w:cstheme="minorBidi"/>
          <w:snapToGrid/>
          <w:color w:val="000000"/>
          <w:kern w:val="0"/>
          <w:sz w:val="32"/>
          <w:szCs w:val="32"/>
          <w:lang w:val="en-US" w:eastAsia="zh-CN" w:bidi="ar-SA"/>
        </w:rPr>
        <w:t>四是</w:t>
      </w:r>
      <w:r>
        <w:rPr>
          <w:rFonts w:hint="eastAsia" w:ascii="Times New Roman" w:hAnsi="Times New Roman" w:eastAsia="仿宋_GB2312" w:cstheme="minorBidi"/>
          <w:snapToGrid/>
          <w:color w:val="000000"/>
          <w:kern w:val="0"/>
          <w:sz w:val="32"/>
          <w:szCs w:val="32"/>
          <w:lang w:val="en-US" w:eastAsia="en-US" w:bidi="ar-SA"/>
        </w:rPr>
        <w:t>口令防暴力破解技术措施排查。检查系统是否限制登录失败次数、设置登录失败锁定时长，是否采取验证码、滑动验证等防暴力破解手段。</w:t>
      </w:r>
      <w:r>
        <w:rPr>
          <w:rFonts w:hint="eastAsia" w:ascii="Times New Roman" w:hAnsi="Times New Roman" w:eastAsia="仿宋_GB2312" w:cstheme="minorBidi"/>
          <w:snapToGrid/>
          <w:color w:val="000000"/>
          <w:kern w:val="0"/>
          <w:sz w:val="32"/>
          <w:szCs w:val="32"/>
          <w:lang w:val="en-US" w:eastAsia="zh-CN" w:bidi="ar-SA"/>
        </w:rPr>
        <w:t>五是</w:t>
      </w:r>
      <w:r>
        <w:rPr>
          <w:rFonts w:hint="eastAsia" w:ascii="Times New Roman" w:hAnsi="Times New Roman" w:eastAsia="仿宋_GB2312" w:cstheme="minorBidi"/>
          <w:snapToGrid/>
          <w:color w:val="000000"/>
          <w:kern w:val="0"/>
          <w:sz w:val="32"/>
          <w:szCs w:val="32"/>
          <w:lang w:val="en-US" w:eastAsia="en-US" w:bidi="ar-SA"/>
        </w:rPr>
        <w:t>加密存储传输口令措施排查。检查口令在客户端与服务器之间传输时，是否采用加密传输协议以及是否加密传输；检查口令存储时是否采用国密算法或同等强度加密技术。</w:t>
      </w:r>
    </w:p>
    <w:p w14:paraId="652611F9">
      <w:pPr>
        <w:pStyle w:val="3"/>
        <w:bidi w:val="0"/>
        <w:rPr>
          <w:rFonts w:hint="eastAsia"/>
        </w:rPr>
      </w:pPr>
      <w:r>
        <w:rPr>
          <w:rFonts w:hint="eastAsia"/>
        </w:rPr>
        <w:t>四、整改原则与建议</w:t>
      </w:r>
    </w:p>
    <w:p w14:paraId="16FC1423">
      <w:pPr>
        <w:pStyle w:val="4"/>
        <w:spacing w:before="225" w:line="320" w:lineRule="auto"/>
        <w:ind w:firstLine="820"/>
        <w:jc w:val="both"/>
        <w:rPr>
          <w:rFonts w:hint="eastAsia" w:ascii="Times New Roman" w:hAnsi="Times New Roman" w:eastAsia="仿宋_GB2312" w:cstheme="minorBidi"/>
          <w:snapToGrid/>
          <w:color w:val="000000"/>
          <w:kern w:val="0"/>
          <w:sz w:val="32"/>
          <w:szCs w:val="32"/>
          <w:lang w:val="en-US" w:eastAsia="en-US" w:bidi="ar-SA"/>
        </w:rPr>
      </w:pPr>
      <w:r>
        <w:rPr>
          <w:rFonts w:hint="eastAsia" w:ascii="Times New Roman" w:hAnsi="Times New Roman" w:eastAsia="仿宋_GB2312" w:cstheme="minorBidi"/>
          <w:snapToGrid/>
          <w:color w:val="000000"/>
          <w:kern w:val="0"/>
          <w:sz w:val="32"/>
          <w:szCs w:val="32"/>
          <w:lang w:val="en-US" w:eastAsia="en-US" w:bidi="ar-SA"/>
        </w:rPr>
        <w:t>各单位按照发现一个、整改一个的原则，对发现的</w:t>
      </w:r>
      <w:r>
        <w:rPr>
          <w:rFonts w:hint="eastAsia" w:ascii="Times New Roman" w:hAnsi="Times New Roman" w:eastAsia="仿宋_GB2312" w:cstheme="minorBidi"/>
          <w:snapToGrid/>
          <w:color w:val="000000"/>
          <w:kern w:val="0"/>
          <w:sz w:val="32"/>
          <w:szCs w:val="32"/>
          <w:lang w:val="en-US" w:eastAsia="zh-CN" w:bidi="ar-SA"/>
        </w:rPr>
        <w:t>“</w:t>
      </w:r>
      <w:r>
        <w:rPr>
          <w:rFonts w:hint="eastAsia" w:ascii="Times New Roman" w:hAnsi="Times New Roman" w:eastAsia="仿宋_GB2312" w:cstheme="minorBidi"/>
          <w:snapToGrid/>
          <w:color w:val="000000"/>
          <w:kern w:val="0"/>
          <w:sz w:val="32"/>
          <w:szCs w:val="32"/>
          <w:lang w:val="en-US" w:eastAsia="en-US" w:bidi="ar-SA"/>
        </w:rPr>
        <w:t>弱口令”风险系统举一反三，动态治理。一是全面推行多因子认证机制。除口令认证方式外，可结合国家网络身份认证公共服务、短信验 证码、生物特征</w:t>
      </w:r>
      <w:r>
        <w:rPr>
          <w:rFonts w:hint="eastAsia" w:ascii="Times New Roman" w:hAnsi="Times New Roman" w:eastAsia="仿宋_GB2312" w:cstheme="minorBidi"/>
          <w:snapToGrid/>
          <w:color w:val="000000"/>
          <w:kern w:val="0"/>
          <w:sz w:val="32"/>
          <w:szCs w:val="32"/>
          <w:lang w:val="en-US" w:eastAsia="zh-CN" w:bidi="ar-SA"/>
        </w:rPr>
        <w:t>（</w:t>
      </w:r>
      <w:r>
        <w:rPr>
          <w:rFonts w:hint="eastAsia" w:ascii="Times New Roman" w:hAnsi="Times New Roman" w:eastAsia="仿宋_GB2312" w:cstheme="minorBidi"/>
          <w:snapToGrid/>
          <w:color w:val="000000"/>
          <w:kern w:val="0"/>
          <w:sz w:val="32"/>
          <w:szCs w:val="32"/>
          <w:lang w:val="en-US" w:eastAsia="en-US" w:bidi="ar-SA"/>
        </w:rPr>
        <w:t>包括指纹、声纹、人脸、虹膜</w:t>
      </w:r>
      <w:r>
        <w:rPr>
          <w:rFonts w:hint="eastAsia" w:ascii="Times New Roman" w:hAnsi="Times New Roman" w:eastAsia="仿宋_GB2312" w:cstheme="minorBidi"/>
          <w:snapToGrid/>
          <w:color w:val="000000"/>
          <w:kern w:val="0"/>
          <w:sz w:val="32"/>
          <w:szCs w:val="32"/>
          <w:lang w:val="en-US" w:eastAsia="zh-CN" w:bidi="ar-SA"/>
        </w:rPr>
        <w:t>）</w:t>
      </w:r>
      <w:r>
        <w:rPr>
          <w:rFonts w:hint="eastAsia" w:ascii="Times New Roman" w:hAnsi="Times New Roman" w:eastAsia="仿宋_GB2312" w:cstheme="minorBidi"/>
          <w:snapToGrid/>
          <w:color w:val="000000"/>
          <w:kern w:val="0"/>
          <w:sz w:val="32"/>
          <w:szCs w:val="32"/>
          <w:lang w:val="en-US" w:eastAsia="en-US" w:bidi="ar-SA"/>
        </w:rPr>
        <w:t>、数字证书、数 字令牌等任意一种方式组成多因子认证。二是限制口令复杂度并设置更新策略。明确口令长度、字符组合等强制性要求，在系统中增加口令复杂度校验策略，规定口令最长使用期限，对到期未修改或不符合复杂度要求的账户自动实施冻结或强制重置。三是建立</w:t>
      </w:r>
      <w:r>
        <w:rPr>
          <w:rFonts w:hint="eastAsia" w:ascii="Times New Roman" w:hAnsi="Times New Roman" w:eastAsia="仿宋_GB2312" w:cstheme="minorBidi"/>
          <w:snapToGrid/>
          <w:color w:val="000000"/>
          <w:kern w:val="0"/>
          <w:sz w:val="32"/>
          <w:szCs w:val="32"/>
          <w:lang w:val="en-US" w:eastAsia="zh-CN" w:bidi="ar-SA"/>
        </w:rPr>
        <w:t>“</w:t>
      </w:r>
      <w:r>
        <w:rPr>
          <w:rFonts w:hint="eastAsia" w:ascii="Times New Roman" w:hAnsi="Times New Roman" w:eastAsia="仿宋_GB2312" w:cstheme="minorBidi"/>
          <w:snapToGrid/>
          <w:color w:val="000000"/>
          <w:kern w:val="0"/>
          <w:sz w:val="32"/>
          <w:szCs w:val="32"/>
          <w:lang w:val="en-US" w:eastAsia="en-US" w:bidi="ar-SA"/>
        </w:rPr>
        <w:t>弱口令”校验机制。对用户设置或变更的口令进行实时校验，严禁使用默认口令、初始口令、空口令等。四是增加口令防“暴破”技术措施。设置严格的登录失败阈值，对连续多次认证失败 的账户启用临时锁定、验证码验证或人机交互验证等防暴力破解措施。五是系统口令加密存储传输。采用国密算法或同等强度加密技术确保口令在存储与传输过程中的机密性与完整性，切实提升账号认证安全基线。六是强化访问控制策略。针对服务器、办公终端、物联网设备等，</w:t>
      </w:r>
      <w:r>
        <w:rPr>
          <w:rFonts w:hint="eastAsia" w:ascii="Times New Roman" w:hAnsi="Times New Roman" w:eastAsia="仿宋_GB2312" w:cstheme="minorBidi"/>
          <w:snapToGrid/>
          <w:color w:val="000000"/>
          <w:kern w:val="0"/>
          <w:sz w:val="32"/>
          <w:szCs w:val="32"/>
          <w:lang w:val="en-US" w:eastAsia="zh-CN" w:bidi="ar-SA"/>
        </w:rPr>
        <w:t>使用专业</w:t>
      </w:r>
      <w:r>
        <w:rPr>
          <w:rFonts w:hint="eastAsia" w:ascii="Times New Roman" w:hAnsi="Times New Roman" w:eastAsia="仿宋_GB2312" w:cstheme="minorBidi"/>
          <w:snapToGrid/>
          <w:color w:val="000000"/>
          <w:kern w:val="0"/>
          <w:sz w:val="32"/>
          <w:szCs w:val="32"/>
          <w:lang w:val="en-US" w:eastAsia="en-US" w:bidi="ar-SA"/>
        </w:rPr>
        <w:t>排查工具发现、整改 “弱口令”问题，并使用白名单规则限定管理端口的访问权限。</w:t>
      </w:r>
    </w:p>
    <w:sectPr>
      <w:headerReference r:id="rId5" w:type="default"/>
      <w:footerReference r:id="rId6" w:type="default"/>
      <w:pgSz w:w="11900" w:h="18640"/>
      <w:pgMar w:top="2098" w:right="1474" w:bottom="1984" w:left="1587" w:header="0" w:footer="2075" w:gutter="0"/>
      <w:cols w:space="0" w:num="1"/>
      <w:rtlGutter w:val="0"/>
      <w:docGrid w:type="linesAndChars" w:linePitch="661" w:charSpace="-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FDA8B98">
    <w:panose1 w:val="0201060103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D3B46">
    <w:pPr>
      <w:spacing w:before="1" w:line="234" w:lineRule="auto"/>
      <w:ind w:right="66"/>
      <w:jc w:val="right"/>
      <w:rPr>
        <w:rFonts w:ascii="宋体" w:hAnsi="宋体" w:eastAsia="宋体" w:cs="宋体"/>
        <w:sz w:val="38"/>
        <w:szCs w:val="3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65B3A">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rawingGridHorizontalSpacing w:val="158"/>
  <w:drawingGridVerticalSpacing w:val="330"/>
  <w:displayHorizontalDrawingGridEvery w:val="2"/>
  <w:displayVertic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D806FC"/>
    <w:rsid w:val="34C14031"/>
    <w:rsid w:val="44703230"/>
    <w:rsid w:val="4AFF6857"/>
    <w:rsid w:val="5B674663"/>
    <w:rsid w:val="5C6350DE"/>
    <w:rsid w:val="66C537B1"/>
    <w:rsid w:val="6A5A0D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Times New Roman" w:hAnsi="Times New Roman" w:eastAsia="仿宋" w:cs="Times New Roman"/>
      <w:snapToGrid w:val="0"/>
      <w:color w:val="000000"/>
      <w:kern w:val="0"/>
      <w:sz w:val="32"/>
      <w:szCs w:val="32"/>
      <w:lang w:val="en-US" w:eastAsia="en-US" w:bidi="ar-SA"/>
    </w:rPr>
  </w:style>
  <w:style w:type="paragraph" w:styleId="2">
    <w:name w:val="heading 1"/>
    <w:basedOn w:val="1"/>
    <w:next w:val="1"/>
    <w:qFormat/>
    <w:uiPriority w:val="0"/>
    <w:pPr>
      <w:spacing w:line="700" w:lineRule="exact"/>
      <w:jc w:val="center"/>
      <w:outlineLvl w:val="0"/>
    </w:pPr>
    <w:rPr>
      <w:rFonts w:ascii="方正小标宋简体" w:hAnsi="方正小标宋简体" w:eastAsia="方正小标宋简体" w:cs="方正小标宋简体"/>
      <w:b/>
      <w:bCs/>
      <w:sz w:val="44"/>
      <w:szCs w:val="44"/>
    </w:rPr>
  </w:style>
  <w:style w:type="paragraph" w:styleId="3">
    <w:name w:val="heading 2"/>
    <w:basedOn w:val="1"/>
    <w:next w:val="1"/>
    <w:unhideWhenUsed/>
    <w:qFormat/>
    <w:uiPriority w:val="0"/>
    <w:pPr>
      <w:spacing w:line="600" w:lineRule="exact"/>
      <w:ind w:firstLine="654" w:firstLineChars="200"/>
      <w:outlineLvl w:val="1"/>
    </w:pPr>
    <w:rPr>
      <w:rFonts w:ascii="黑体" w:hAnsi="黑体" w:eastAsia="黑体" w:cs="黑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ascii="仿宋" w:hAnsi="仿宋" w:eastAsia="仿宋" w:cs="仿宋"/>
      <w:sz w:val="42"/>
      <w:szCs w:val="42"/>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1119</Words>
  <Characters>1119</Characters>
  <TotalTime>80</TotalTime>
  <ScaleCrop>false</ScaleCrop>
  <LinksUpToDate>false</LinksUpToDate>
  <CharactersWithSpaces>1124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2026-05-14T15:41:00Z</dcterms:created>
  <dc:creator>PC</dc:creator>
  <cp:lastModifiedBy>阁老</cp:lastModifiedBy>
  <dcterms:modified xsi:type="dcterms:W3CDTF">2026-06-08T06:30:56Z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2026-05-14T15:41:32Z</vt:filetime>
  </property>
  <property fmtid="{D5CDD505-2E9C-101B-9397-08002B2CF9AE}" pid="4" name="UsrData">
    <vt:lpwstr>6a057ca85b4fbf001fb508e3wl</vt:lpwstr>
  </property>
  <property fmtid="{D5CDD505-2E9C-101B-9397-08002B2CF9AE}" pid="5" name="KSOTemplateDocerSaveRecord">
    <vt:lpwstr>eyJoZGlkIjoiOGY3N2EyZDdhNDZiYmI3YTAxYWFlMmM2OTExYmYwYjAiLCJ1c2VySWQiOiI0MzU0ODIzMzMifQ==</vt:lpwstr>
  </property>
  <property fmtid="{D5CDD505-2E9C-101B-9397-08002B2CF9AE}" pid="6" name="KSOProductBuildVer">
    <vt:lpwstr>2052-12.1.0.26375</vt:lpwstr>
  </property>
  <property fmtid="{D5CDD505-2E9C-101B-9397-08002B2CF9AE}" pid="7" name="ICV">
    <vt:lpwstr>ECCBD0568E5F44CA98256DD098820C73_13</vt:lpwstr>
  </property>
</Properties>
</file>